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0E6E3D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__</w:t>
      </w:r>
      <w:r w:rsidRPr="00023A9E">
        <w:rPr>
          <w:rFonts w:ascii="Times New Roman" w:hAnsi="Times New Roman" w:cs="Times New Roman"/>
          <w:sz w:val="20"/>
          <w:szCs w:val="20"/>
        </w:rPr>
        <w:t>_</w:t>
      </w:r>
    </w:p>
    <w:p w:rsidR="000310C2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0C2" w:rsidRPr="00023A9E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0E6E3D" w:rsidRPr="00023A9E" w:rsidRDefault="002A2654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0E6E3D"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0E6E3D" w:rsidRPr="00023A9E" w:rsidRDefault="000E6E3D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6E3D" w:rsidRPr="00023A9E" w:rsidRDefault="000E6E3D" w:rsidP="00023A9E">
      <w:pPr>
        <w:spacing w:after="0" w:line="240" w:lineRule="auto"/>
        <w:rPr>
          <w:rFonts w:ascii="Times New Roman" w:hAnsi="Times New Roman" w:cs="Times New Roman"/>
        </w:rPr>
        <w:sectPr w:rsidR="000E6E3D" w:rsidRPr="00023A9E" w:rsidSect="00F556F9">
          <w:headerReference w:type="default" r:id="rId8"/>
          <w:headerReference w:type="first" r:id="rId9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УЧЕТ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 w:rsidR="00C253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</w:rPr>
        <w:t>_______________________________________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30107C" w:rsidRPr="0049664D" w:rsidRDefault="0030107C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D3" w:rsidRDefault="008C3216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1.65pt;margin-top:-54.8pt;width:54.4pt;height:28.9pt;z-index:251661312" strokecolor="white [3212]">
            <v:textbox>
              <w:txbxContent>
                <w:p w:rsidR="00DC632E" w:rsidRPr="007D71C9" w:rsidRDefault="00DC63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65FD3">
        <w:rPr>
          <w:rFonts w:ascii="Times New Roman" w:hAnsi="Times New Roman" w:cs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3">
        <w:rPr>
          <w:rFonts w:ascii="Times New Roman" w:hAnsi="Times New Roman" w:cs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  <w:t xml:space="preserve">    (подпись, дата, инициалы, фамилия)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Default="000E6E3D" w:rsidP="000E6E3D">
      <w:pPr>
        <w:sectPr w:rsidR="000E6E3D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E6E3D" w:rsidRPr="00565FD3" w:rsidRDefault="008C3216" w:rsidP="000E6E3D">
      <w:pPr>
        <w:spacing w:after="120"/>
        <w:ind w:left="3969"/>
        <w:jc w:val="center"/>
        <w:rPr>
          <w:rFonts w:ascii="Times New Roman" w:hAnsi="Times New Roman" w:cs="Times New Roman"/>
          <w:szCs w:val="24"/>
        </w:rPr>
      </w:pPr>
      <w:r w:rsidRPr="008C3216"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2336" strokecolor="white [3212]">
            <v:textbox>
              <w:txbxContent>
                <w:p w:rsidR="00DC632E" w:rsidRPr="007D71C9" w:rsidRDefault="00DC632E" w:rsidP="007D71C9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65FD3">
        <w:rPr>
          <w:rFonts w:ascii="Times New Roman" w:hAnsi="Times New Roman" w:cs="Times New Roman"/>
        </w:rPr>
        <w:t>Приложение № 4</w:t>
      </w:r>
    </w:p>
    <w:p w:rsidR="00F80F87" w:rsidRPr="00F553C7" w:rsidRDefault="00F80F87" w:rsidP="00F80F87">
      <w:pPr>
        <w:pStyle w:val="14-15"/>
        <w:widowControl/>
        <w:spacing w:line="240" w:lineRule="auto"/>
        <w:ind w:left="5103" w:hanging="1701"/>
        <w:rPr>
          <w:bCs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                               </w:t>
      </w:r>
      <w:r w:rsidR="00F553C7" w:rsidRPr="00F553C7">
        <w:rPr>
          <w:bCs/>
          <w:sz w:val="20"/>
          <w:lang w:eastAsia="en-US"/>
        </w:rPr>
        <w:t xml:space="preserve">К </w:t>
      </w:r>
      <w:r w:rsidR="00F553C7" w:rsidRPr="00F553C7">
        <w:rPr>
          <w:sz w:val="20"/>
        </w:rPr>
        <w:t xml:space="preserve">Порядку формирования и расходования денежных средств избирательных фондов кандидатов </w:t>
      </w:r>
      <w:r w:rsidR="005E3437">
        <w:rPr>
          <w:sz w:val="20"/>
        </w:rPr>
        <w:t>и формам</w:t>
      </w:r>
      <w:r w:rsidR="00F553C7" w:rsidRPr="00F553C7">
        <w:rPr>
          <w:sz w:val="20"/>
        </w:rPr>
        <w:t xml:space="preserve"> учета и отчетности о поступлении и расходовании средств избирательных фондов кандидатов, зарегистрированных кандидатов при проведении выборов депутатов советов депутатов муниципальных образований Кировского муниципального района Ленинградской области в единый день голосования 08.09.2019 года</w:t>
      </w:r>
    </w:p>
    <w:p w:rsidR="000E6E3D" w:rsidRDefault="000E6E3D" w:rsidP="00B43F2F">
      <w:pPr>
        <w:pStyle w:val="14-15"/>
        <w:widowControl/>
        <w:spacing w:line="240" w:lineRule="auto"/>
        <w:rPr>
          <w:sz w:val="24"/>
          <w:szCs w:val="24"/>
        </w:rPr>
      </w:pPr>
    </w:p>
    <w:p w:rsidR="000E6E3D" w:rsidRPr="00565FD3" w:rsidRDefault="000E6E3D" w:rsidP="00565FD3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к итоговому финансовому отчету кандидата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pStyle w:val="ienuii"/>
        <w:widowControl/>
        <w:spacing w:after="0"/>
        <w:ind w:left="0"/>
        <w:rPr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договоры на выполнение работ (оказание услуг);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счета (счета-фактуры);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E6E3D" w:rsidRDefault="000E6E3D" w:rsidP="00565FD3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 w:cs="Times New Roman"/>
          <w:sz w:val="24"/>
          <w:szCs w:val="24"/>
        </w:rPr>
        <w:t>чеки контрольно-кассовых машин.</w:t>
      </w:r>
    </w:p>
    <w:p w:rsidR="000E6E3D" w:rsidRDefault="000E6E3D"/>
    <w:sectPr w:rsidR="000E6E3D" w:rsidSect="008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F2" w:rsidRDefault="000829F2" w:rsidP="000E6E3D">
      <w:pPr>
        <w:spacing w:after="0" w:line="240" w:lineRule="auto"/>
      </w:pPr>
      <w:r>
        <w:separator/>
      </w:r>
    </w:p>
  </w:endnote>
  <w:endnote w:type="continuationSeparator" w:id="1">
    <w:p w:rsidR="000829F2" w:rsidRDefault="000829F2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F2" w:rsidRDefault="000829F2" w:rsidP="000E6E3D">
      <w:pPr>
        <w:spacing w:after="0" w:line="240" w:lineRule="auto"/>
      </w:pPr>
      <w:r>
        <w:separator/>
      </w:r>
    </w:p>
  </w:footnote>
  <w:footnote w:type="continuationSeparator" w:id="1">
    <w:p w:rsidR="000829F2" w:rsidRDefault="000829F2" w:rsidP="000E6E3D">
      <w:pPr>
        <w:spacing w:after="0" w:line="240" w:lineRule="auto"/>
      </w:pPr>
      <w:r>
        <w:continuationSeparator/>
      </w:r>
    </w:p>
  </w:footnote>
  <w:footnote w:id="2">
    <w:p w:rsidR="00DC632E" w:rsidRDefault="00DC632E" w:rsidP="000E6E3D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DC632E" w:rsidRDefault="00DC632E">
        <w:pPr>
          <w:pStyle w:val="a5"/>
          <w:jc w:val="right"/>
        </w:pPr>
        <w:r>
          <w:t xml:space="preserve"> </w:t>
        </w:r>
      </w:p>
    </w:sdtContent>
  </w:sdt>
  <w:p w:rsidR="00DC632E" w:rsidRDefault="00DC63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DC632E" w:rsidRDefault="008C3216">
        <w:pPr>
          <w:pStyle w:val="a5"/>
          <w:jc w:val="right"/>
        </w:pPr>
        <w:fldSimple w:instr="PAGE   \* MERGEFORMAT">
          <w:r w:rsidR="00DC632E">
            <w:rPr>
              <w:noProof/>
            </w:rPr>
            <w:t>1</w:t>
          </w:r>
        </w:fldSimple>
      </w:p>
    </w:sdtContent>
  </w:sdt>
  <w:p w:rsidR="00DC632E" w:rsidRPr="00F556F9" w:rsidRDefault="00DC632E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70BD"/>
    <w:rsid w:val="000829F2"/>
    <w:rsid w:val="00084345"/>
    <w:rsid w:val="00092F5F"/>
    <w:rsid w:val="000C7EC4"/>
    <w:rsid w:val="000E6E3D"/>
    <w:rsid w:val="0011314C"/>
    <w:rsid w:val="00113FF1"/>
    <w:rsid w:val="00132FDD"/>
    <w:rsid w:val="00156AB8"/>
    <w:rsid w:val="001741D5"/>
    <w:rsid w:val="0017695E"/>
    <w:rsid w:val="001E19A7"/>
    <w:rsid w:val="00212477"/>
    <w:rsid w:val="002427B0"/>
    <w:rsid w:val="00253895"/>
    <w:rsid w:val="00265BF6"/>
    <w:rsid w:val="002A2654"/>
    <w:rsid w:val="002A3B8C"/>
    <w:rsid w:val="002E6C01"/>
    <w:rsid w:val="0030107C"/>
    <w:rsid w:val="003066D3"/>
    <w:rsid w:val="003073F2"/>
    <w:rsid w:val="0031320F"/>
    <w:rsid w:val="003223D3"/>
    <w:rsid w:val="003411FC"/>
    <w:rsid w:val="003648D0"/>
    <w:rsid w:val="00383E0E"/>
    <w:rsid w:val="003856C0"/>
    <w:rsid w:val="003A229A"/>
    <w:rsid w:val="003C5026"/>
    <w:rsid w:val="0040444C"/>
    <w:rsid w:val="00413219"/>
    <w:rsid w:val="004153CD"/>
    <w:rsid w:val="0045026B"/>
    <w:rsid w:val="0046688E"/>
    <w:rsid w:val="0049664D"/>
    <w:rsid w:val="004E25DD"/>
    <w:rsid w:val="00506368"/>
    <w:rsid w:val="00565FD3"/>
    <w:rsid w:val="0058191A"/>
    <w:rsid w:val="00587997"/>
    <w:rsid w:val="00591908"/>
    <w:rsid w:val="005A6969"/>
    <w:rsid w:val="005A7BF8"/>
    <w:rsid w:val="005B7A5F"/>
    <w:rsid w:val="005E3437"/>
    <w:rsid w:val="00622A0E"/>
    <w:rsid w:val="006277C9"/>
    <w:rsid w:val="00641872"/>
    <w:rsid w:val="00655199"/>
    <w:rsid w:val="00672DFC"/>
    <w:rsid w:val="00675F70"/>
    <w:rsid w:val="006A5FD8"/>
    <w:rsid w:val="006D6484"/>
    <w:rsid w:val="006E15FC"/>
    <w:rsid w:val="006F5613"/>
    <w:rsid w:val="007207FB"/>
    <w:rsid w:val="00731296"/>
    <w:rsid w:val="00736CAF"/>
    <w:rsid w:val="00745BB3"/>
    <w:rsid w:val="00776E58"/>
    <w:rsid w:val="007B10FB"/>
    <w:rsid w:val="007B230D"/>
    <w:rsid w:val="007C7F69"/>
    <w:rsid w:val="007D71C9"/>
    <w:rsid w:val="007E238F"/>
    <w:rsid w:val="00811C64"/>
    <w:rsid w:val="00854F6D"/>
    <w:rsid w:val="00856285"/>
    <w:rsid w:val="008618A8"/>
    <w:rsid w:val="008C3216"/>
    <w:rsid w:val="008D1490"/>
    <w:rsid w:val="008F7896"/>
    <w:rsid w:val="008F7D08"/>
    <w:rsid w:val="00914FF9"/>
    <w:rsid w:val="00970F22"/>
    <w:rsid w:val="009719D3"/>
    <w:rsid w:val="009B5CCB"/>
    <w:rsid w:val="009B79AD"/>
    <w:rsid w:val="00A27AAF"/>
    <w:rsid w:val="00A50EF2"/>
    <w:rsid w:val="00A67AB3"/>
    <w:rsid w:val="00A95146"/>
    <w:rsid w:val="00AA466C"/>
    <w:rsid w:val="00AD1F63"/>
    <w:rsid w:val="00AD2C27"/>
    <w:rsid w:val="00AF4EB9"/>
    <w:rsid w:val="00B011B5"/>
    <w:rsid w:val="00B342AB"/>
    <w:rsid w:val="00B43F2F"/>
    <w:rsid w:val="00B5708B"/>
    <w:rsid w:val="00B70C33"/>
    <w:rsid w:val="00B917BB"/>
    <w:rsid w:val="00BB4167"/>
    <w:rsid w:val="00BC6B5E"/>
    <w:rsid w:val="00C05DB3"/>
    <w:rsid w:val="00C102C5"/>
    <w:rsid w:val="00C2539E"/>
    <w:rsid w:val="00C34130"/>
    <w:rsid w:val="00C47073"/>
    <w:rsid w:val="00C637CA"/>
    <w:rsid w:val="00C66D1A"/>
    <w:rsid w:val="00C840B1"/>
    <w:rsid w:val="00D16814"/>
    <w:rsid w:val="00D277B8"/>
    <w:rsid w:val="00D43E70"/>
    <w:rsid w:val="00D56324"/>
    <w:rsid w:val="00DA4CD9"/>
    <w:rsid w:val="00DC632E"/>
    <w:rsid w:val="00E44767"/>
    <w:rsid w:val="00E57F37"/>
    <w:rsid w:val="00E66024"/>
    <w:rsid w:val="00E941AD"/>
    <w:rsid w:val="00EA2245"/>
    <w:rsid w:val="00ED4265"/>
    <w:rsid w:val="00F03115"/>
    <w:rsid w:val="00F07CB0"/>
    <w:rsid w:val="00F30553"/>
    <w:rsid w:val="00F31AC5"/>
    <w:rsid w:val="00F37766"/>
    <w:rsid w:val="00F553C7"/>
    <w:rsid w:val="00F556F9"/>
    <w:rsid w:val="00F561C9"/>
    <w:rsid w:val="00F6074E"/>
    <w:rsid w:val="00F76BBF"/>
    <w:rsid w:val="00F80F87"/>
    <w:rsid w:val="00FC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semiHidden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sz w:val="16"/>
      <w:szCs w:val="16"/>
    </w:rPr>
  </w:style>
  <w:style w:type="paragraph" w:styleId="afc">
    <w:name w:val="No Spacing"/>
    <w:uiPriority w:val="1"/>
    <w:qFormat/>
    <w:rsid w:val="009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83FD-AD96-4BEC-B531-1A7F93C3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2019-09-11T06:41:00Z</cp:lastPrinted>
  <dcterms:created xsi:type="dcterms:W3CDTF">2019-12-17T08:53:00Z</dcterms:created>
  <dcterms:modified xsi:type="dcterms:W3CDTF">2019-12-17T08:53:00Z</dcterms:modified>
</cp:coreProperties>
</file>